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0D" w:rsidRPr="00A321AD" w:rsidRDefault="00B66B0D" w:rsidP="00B66B0D">
      <w:pPr>
        <w:jc w:val="center"/>
        <w:rPr>
          <w:b/>
          <w:color w:val="365F91"/>
          <w:u w:val="single"/>
        </w:rPr>
      </w:pPr>
      <w:bookmarkStart w:id="0" w:name="_GoBack"/>
      <w:bookmarkEnd w:id="0"/>
      <w:r w:rsidRPr="00A321AD">
        <w:rPr>
          <w:b/>
          <w:color w:val="365F91"/>
          <w:u w:val="single"/>
        </w:rPr>
        <w:t>Межведомственная система электронного документооборота Московской области</w:t>
      </w:r>
    </w:p>
    <w:p w:rsidR="000A4CE8" w:rsidRDefault="000A4CE8">
      <w:pPr>
        <w:jc w:val="center"/>
        <w:rPr>
          <w:b/>
          <w:i/>
          <w:sz w:val="20"/>
        </w:rPr>
      </w:pPr>
    </w:p>
    <w:p w:rsidR="002076CC" w:rsidRPr="00FA3B9B" w:rsidRDefault="002076CC">
      <w:pPr>
        <w:jc w:val="center"/>
        <w:rPr>
          <w:b/>
          <w:i/>
          <w:sz w:val="20"/>
        </w:rPr>
      </w:pPr>
    </w:p>
    <w:p w:rsidR="000A4CE8" w:rsidRDefault="000A4CE8">
      <w:pPr>
        <w:jc w:val="center"/>
      </w:pPr>
      <w:r>
        <w:object w:dxaOrig="4598" w:dyaOrig="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66.15pt" o:ole="" fillcolor="window">
            <v:imagedata r:id="rId8" o:title=""/>
          </v:shape>
          <o:OLEObject Type="Embed" ProgID="CorelDRAW.Graphic.10" ShapeID="_x0000_i1025" DrawAspect="Content" ObjectID="_1340311522" r:id="rId9"/>
        </w:object>
      </w:r>
    </w:p>
    <w:p w:rsidR="000A4CE8" w:rsidRDefault="000A4CE8">
      <w:pPr>
        <w:jc w:val="center"/>
        <w:rPr>
          <w:sz w:val="12"/>
        </w:rPr>
      </w:pPr>
    </w:p>
    <w:p w:rsidR="000A4CE8" w:rsidRDefault="000A4CE8">
      <w:pPr>
        <w:jc w:val="center"/>
        <w:rPr>
          <w:sz w:val="16"/>
        </w:rPr>
      </w:pPr>
    </w:p>
    <w:p w:rsidR="000A4CE8" w:rsidRPr="00524009" w:rsidRDefault="000A4CE8">
      <w:pPr>
        <w:pStyle w:val="1"/>
        <w:rPr>
          <w:b w:val="0"/>
          <w:sz w:val="32"/>
        </w:rPr>
      </w:pPr>
      <w:r w:rsidRPr="00524009">
        <w:rPr>
          <w:b w:val="0"/>
          <w:sz w:val="32"/>
        </w:rPr>
        <w:t>КОМИТЕТ</w:t>
      </w:r>
    </w:p>
    <w:p w:rsidR="000A4CE8" w:rsidRPr="00524009" w:rsidRDefault="000A4CE8">
      <w:pPr>
        <w:pStyle w:val="4"/>
        <w:rPr>
          <w:b w:val="0"/>
          <w:sz w:val="32"/>
        </w:rPr>
      </w:pPr>
      <w:r w:rsidRPr="00524009">
        <w:rPr>
          <w:b w:val="0"/>
          <w:sz w:val="32"/>
        </w:rPr>
        <w:t xml:space="preserve">ПО ТРУДУ И ЗАНЯТОСТИ НАСЕЛЕНИЯ </w:t>
      </w:r>
    </w:p>
    <w:p w:rsidR="000A4CE8" w:rsidRPr="00524009" w:rsidRDefault="000A4CE8">
      <w:pPr>
        <w:pStyle w:val="4"/>
        <w:rPr>
          <w:b w:val="0"/>
          <w:sz w:val="32"/>
        </w:rPr>
      </w:pPr>
      <w:r w:rsidRPr="00524009">
        <w:rPr>
          <w:b w:val="0"/>
          <w:sz w:val="32"/>
        </w:rPr>
        <w:t xml:space="preserve">МОСКОВСКОЙ  ОБЛАСТИ </w:t>
      </w:r>
    </w:p>
    <w:p w:rsidR="00524009" w:rsidRDefault="00524009" w:rsidP="00524009">
      <w:pPr>
        <w:ind w:left="-284"/>
        <w:jc w:val="both"/>
        <w:rPr>
          <w:sz w:val="20"/>
        </w:rPr>
      </w:pPr>
    </w:p>
    <w:p w:rsidR="00524009" w:rsidRPr="00524009" w:rsidRDefault="00524009" w:rsidP="00524009">
      <w:pPr>
        <w:ind w:left="-284"/>
        <w:jc w:val="both"/>
        <w:rPr>
          <w:sz w:val="20"/>
        </w:rPr>
      </w:pPr>
      <w:r w:rsidRPr="005B37D5">
        <w:rPr>
          <w:sz w:val="20"/>
        </w:rPr>
        <w:t>129366, Москва</w:t>
      </w:r>
      <w:r>
        <w:rPr>
          <w:sz w:val="20"/>
        </w:rPr>
        <w:tab/>
      </w:r>
      <w:r>
        <w:rPr>
          <w:sz w:val="20"/>
        </w:rPr>
        <w:tab/>
      </w:r>
      <w:r>
        <w:rPr>
          <w:sz w:val="20"/>
        </w:rPr>
        <w:tab/>
      </w:r>
      <w:r>
        <w:rPr>
          <w:sz w:val="20"/>
        </w:rPr>
        <w:tab/>
      </w:r>
      <w:r>
        <w:rPr>
          <w:sz w:val="20"/>
        </w:rPr>
        <w:tab/>
      </w:r>
      <w:r w:rsidRPr="005B37D5">
        <w:rPr>
          <w:sz w:val="20"/>
        </w:rPr>
        <w:tab/>
      </w:r>
      <w:r w:rsidRPr="005B37D5">
        <w:rPr>
          <w:sz w:val="20"/>
        </w:rPr>
        <w:tab/>
        <w:t xml:space="preserve">тел. </w:t>
      </w:r>
      <w:r w:rsidRPr="00524009">
        <w:rPr>
          <w:sz w:val="20"/>
        </w:rPr>
        <w:t xml:space="preserve">(495)683-18-20, </w:t>
      </w:r>
      <w:r w:rsidRPr="005B37D5">
        <w:rPr>
          <w:sz w:val="20"/>
        </w:rPr>
        <w:t>факс</w:t>
      </w:r>
      <w:r w:rsidRPr="00524009">
        <w:rPr>
          <w:sz w:val="20"/>
        </w:rPr>
        <w:t xml:space="preserve"> (495)683-42-64</w:t>
      </w:r>
    </w:p>
    <w:p w:rsidR="00524009" w:rsidRPr="00524009" w:rsidRDefault="00524009" w:rsidP="00524009">
      <w:pPr>
        <w:shd w:val="clear" w:color="auto" w:fill="FFFFFF"/>
        <w:tabs>
          <w:tab w:val="left" w:pos="5670"/>
          <w:tab w:val="left" w:pos="6365"/>
        </w:tabs>
        <w:spacing w:after="20"/>
        <w:ind w:left="-284"/>
      </w:pPr>
      <w:r w:rsidRPr="005B37D5">
        <w:rPr>
          <w:sz w:val="20"/>
        </w:rPr>
        <w:t>ул. Ярославская, 23</w:t>
      </w:r>
      <w:r>
        <w:rPr>
          <w:sz w:val="20"/>
        </w:rPr>
        <w:tab/>
      </w:r>
      <w:r w:rsidRPr="005B37D5">
        <w:rPr>
          <w:sz w:val="20"/>
          <w:lang w:val="en-US"/>
        </w:rPr>
        <w:t>E</w:t>
      </w:r>
      <w:r w:rsidRPr="005B37D5">
        <w:rPr>
          <w:sz w:val="20"/>
        </w:rPr>
        <w:t>-</w:t>
      </w:r>
      <w:r w:rsidRPr="005B37D5">
        <w:rPr>
          <w:sz w:val="20"/>
          <w:lang w:val="en-US"/>
        </w:rPr>
        <w:t>mail</w:t>
      </w:r>
      <w:r w:rsidRPr="002076CC">
        <w:rPr>
          <w:color w:val="365F91"/>
          <w:sz w:val="20"/>
        </w:rPr>
        <w:t xml:space="preserve">: </w:t>
      </w:r>
      <w:hyperlink r:id="rId10" w:history="1">
        <w:r w:rsidRPr="002076CC">
          <w:rPr>
            <w:rStyle w:val="a6"/>
            <w:color w:val="365F91"/>
            <w:sz w:val="20"/>
            <w:u w:val="none"/>
            <w:lang w:val="en-US"/>
          </w:rPr>
          <w:t>departament</w:t>
        </w:r>
        <w:r w:rsidRPr="002076CC">
          <w:rPr>
            <w:rStyle w:val="a6"/>
            <w:color w:val="365F91"/>
            <w:sz w:val="20"/>
            <w:u w:val="none"/>
          </w:rPr>
          <w:t>@</w:t>
        </w:r>
        <w:r w:rsidRPr="002076CC">
          <w:rPr>
            <w:rStyle w:val="a6"/>
            <w:color w:val="365F91"/>
            <w:sz w:val="20"/>
            <w:u w:val="none"/>
            <w:lang w:val="en-US"/>
          </w:rPr>
          <w:t>dzan</w:t>
        </w:r>
        <w:r w:rsidRPr="002076CC">
          <w:rPr>
            <w:rStyle w:val="a6"/>
            <w:color w:val="365F91"/>
            <w:sz w:val="20"/>
            <w:u w:val="none"/>
          </w:rPr>
          <w:t>-</w:t>
        </w:r>
        <w:r w:rsidRPr="002076CC">
          <w:rPr>
            <w:rStyle w:val="a6"/>
            <w:color w:val="365F91"/>
            <w:sz w:val="20"/>
            <w:u w:val="none"/>
            <w:lang w:val="en-US"/>
          </w:rPr>
          <w:t>mo</w:t>
        </w:r>
        <w:r w:rsidRPr="002076CC">
          <w:rPr>
            <w:rStyle w:val="a6"/>
            <w:color w:val="365F91"/>
            <w:sz w:val="20"/>
            <w:u w:val="none"/>
          </w:rPr>
          <w:t>.</w:t>
        </w:r>
        <w:r w:rsidRPr="002076CC">
          <w:rPr>
            <w:rStyle w:val="a6"/>
            <w:color w:val="365F91"/>
            <w:sz w:val="20"/>
            <w:u w:val="none"/>
            <w:lang w:val="en-US"/>
          </w:rPr>
          <w:t>ru</w:t>
        </w:r>
      </w:hyperlink>
    </w:p>
    <w:tbl>
      <w:tblPr>
        <w:tblW w:w="0" w:type="auto"/>
        <w:tblInd w:w="-176" w:type="dxa"/>
        <w:tblBorders>
          <w:top w:val="single" w:sz="18" w:space="0" w:color="auto"/>
          <w:insideH w:val="single" w:sz="18" w:space="0" w:color="auto"/>
          <w:insideV w:val="single" w:sz="18" w:space="0" w:color="auto"/>
        </w:tblBorders>
        <w:tblLook w:val="0000" w:firstRow="0" w:lastRow="0" w:firstColumn="0" w:lastColumn="0" w:noHBand="0" w:noVBand="0"/>
      </w:tblPr>
      <w:tblGrid>
        <w:gridCol w:w="425"/>
        <w:gridCol w:w="1641"/>
        <w:gridCol w:w="486"/>
        <w:gridCol w:w="1701"/>
        <w:gridCol w:w="425"/>
        <w:gridCol w:w="5069"/>
      </w:tblGrid>
      <w:tr w:rsidR="00524009" w:rsidRPr="00FB4A4E" w:rsidTr="009C64A6">
        <w:trPr>
          <w:trHeight w:hRule="exact" w:val="20"/>
        </w:trPr>
        <w:tc>
          <w:tcPr>
            <w:tcW w:w="9747" w:type="dxa"/>
            <w:gridSpan w:val="6"/>
          </w:tcPr>
          <w:p w:rsidR="00524009" w:rsidRPr="00FB4A4E" w:rsidRDefault="00524009" w:rsidP="003E4F18">
            <w:pPr>
              <w:spacing w:before="58"/>
            </w:pPr>
          </w:p>
        </w:tc>
      </w:tr>
      <w:tr w:rsidR="000D4413" w:rsidRPr="005B08B0" w:rsidTr="005E21B8">
        <w:tblPrEx>
          <w:tblBorders>
            <w:top w:val="none" w:sz="0" w:space="0" w:color="auto"/>
            <w:insideH w:val="none" w:sz="0" w:space="0" w:color="auto"/>
            <w:insideV w:val="none" w:sz="0" w:space="0" w:color="auto"/>
          </w:tblBorders>
          <w:tblLook w:val="01E0" w:firstRow="1" w:lastRow="1" w:firstColumn="1" w:lastColumn="1" w:noHBand="0" w:noVBand="0"/>
        </w:tblPrEx>
        <w:trPr>
          <w:trHeight w:hRule="exact" w:val="397"/>
        </w:trPr>
        <w:tc>
          <w:tcPr>
            <w:tcW w:w="425" w:type="dxa"/>
            <w:shd w:val="clear" w:color="auto" w:fill="auto"/>
          </w:tcPr>
          <w:p w:rsidR="000D4413" w:rsidRPr="0030373E" w:rsidRDefault="000D4413" w:rsidP="008634A1">
            <w:pPr>
              <w:spacing w:line="23" w:lineRule="atLeast"/>
              <w:jc w:val="right"/>
              <w:rPr>
                <w:position w:val="26"/>
              </w:rPr>
            </w:pPr>
            <w:permStart w:id="1422198015" w:edGrp="everyone"/>
          </w:p>
        </w:tc>
        <w:tc>
          <w:tcPr>
            <w:tcW w:w="1641" w:type="dxa"/>
            <w:shd w:val="clear" w:color="auto" w:fill="auto"/>
          </w:tcPr>
          <w:p w:rsidR="000D4413" w:rsidRPr="0030373E" w:rsidRDefault="000D4413" w:rsidP="008634A1">
            <w:pPr>
              <w:spacing w:line="23" w:lineRule="atLeast"/>
              <w:jc w:val="right"/>
              <w:rPr>
                <w:position w:val="26"/>
              </w:rPr>
            </w:pPr>
          </w:p>
        </w:tc>
        <w:tc>
          <w:tcPr>
            <w:tcW w:w="486" w:type="dxa"/>
            <w:shd w:val="clear" w:color="auto" w:fill="auto"/>
          </w:tcPr>
          <w:p w:rsidR="000D4413" w:rsidRPr="0030373E" w:rsidRDefault="000D4413" w:rsidP="008634A1">
            <w:pPr>
              <w:spacing w:line="23" w:lineRule="atLeast"/>
              <w:jc w:val="right"/>
              <w:rPr>
                <w:position w:val="26"/>
              </w:rPr>
            </w:pPr>
          </w:p>
        </w:tc>
        <w:tc>
          <w:tcPr>
            <w:tcW w:w="1701" w:type="dxa"/>
            <w:shd w:val="clear" w:color="auto" w:fill="auto"/>
          </w:tcPr>
          <w:p w:rsidR="000D4413" w:rsidRPr="0030373E" w:rsidRDefault="000D4413" w:rsidP="008634A1">
            <w:pPr>
              <w:spacing w:line="23" w:lineRule="atLeast"/>
              <w:rPr>
                <w:position w:val="26"/>
              </w:rPr>
            </w:pPr>
          </w:p>
        </w:tc>
        <w:tc>
          <w:tcPr>
            <w:tcW w:w="425" w:type="dxa"/>
            <w:shd w:val="clear" w:color="auto" w:fill="auto"/>
          </w:tcPr>
          <w:p w:rsidR="000D4413" w:rsidRPr="0030373E" w:rsidRDefault="000D4413" w:rsidP="008634A1">
            <w:pPr>
              <w:spacing w:line="23" w:lineRule="atLeast"/>
              <w:jc w:val="right"/>
              <w:rPr>
                <w:position w:val="26"/>
              </w:rPr>
            </w:pPr>
          </w:p>
        </w:tc>
        <w:tc>
          <w:tcPr>
            <w:tcW w:w="5069" w:type="dxa"/>
            <w:vMerge w:val="restart"/>
            <w:shd w:val="clear" w:color="auto" w:fill="auto"/>
          </w:tcPr>
          <w:p w:rsidR="000D4413" w:rsidRPr="0030373E" w:rsidRDefault="000D4413" w:rsidP="008634A1">
            <w:pPr>
              <w:spacing w:line="23" w:lineRule="atLeast"/>
              <w:rPr>
                <w:sz w:val="28"/>
                <w:szCs w:val="28"/>
              </w:rPr>
            </w:pPr>
          </w:p>
          <w:p w:rsidR="00CE4D7A" w:rsidRPr="00CE4D7A" w:rsidRDefault="00333C68" w:rsidP="00333C68">
            <w:pPr>
              <w:spacing w:line="23" w:lineRule="atLeast"/>
              <w:ind w:left="460"/>
              <w:rPr>
                <w:sz w:val="28"/>
                <w:szCs w:val="28"/>
              </w:rPr>
            </w:pPr>
            <w:r w:rsidRPr="00333C68">
              <w:rPr>
                <w:sz w:val="27"/>
                <w:szCs w:val="27"/>
              </w:rPr>
              <w:t>Главам муниципальных районов и городск</w:t>
            </w:r>
            <w:r>
              <w:rPr>
                <w:sz w:val="27"/>
                <w:szCs w:val="27"/>
              </w:rPr>
              <w:t>и</w:t>
            </w:r>
            <w:r w:rsidRPr="00333C68">
              <w:rPr>
                <w:sz w:val="27"/>
                <w:szCs w:val="27"/>
              </w:rPr>
              <w:t>х округов Московской области</w:t>
            </w:r>
          </w:p>
        </w:tc>
      </w:tr>
      <w:tr w:rsidR="000D4413" w:rsidRPr="005B08B0" w:rsidTr="005E21B8">
        <w:tblPrEx>
          <w:tblBorders>
            <w:top w:val="none" w:sz="0" w:space="0" w:color="auto"/>
            <w:insideH w:val="none" w:sz="0" w:space="0" w:color="auto"/>
            <w:insideV w:val="none" w:sz="0" w:space="0" w:color="auto"/>
          </w:tblBorders>
          <w:tblLook w:val="01E0" w:firstRow="1" w:lastRow="1" w:firstColumn="1" w:lastColumn="1" w:noHBand="0" w:noVBand="0"/>
        </w:tblPrEx>
        <w:trPr>
          <w:trHeight w:hRule="exact" w:val="227"/>
        </w:trPr>
        <w:tc>
          <w:tcPr>
            <w:tcW w:w="4253" w:type="dxa"/>
            <w:gridSpan w:val="4"/>
            <w:shd w:val="clear" w:color="auto" w:fill="auto"/>
          </w:tcPr>
          <w:p w:rsidR="000D4413" w:rsidRPr="005B08B0" w:rsidRDefault="000D4413" w:rsidP="008634A1">
            <w:pPr>
              <w:spacing w:line="23" w:lineRule="atLeast"/>
              <w:jc w:val="right"/>
              <w:rPr>
                <w:position w:val="26"/>
              </w:rPr>
            </w:pPr>
          </w:p>
        </w:tc>
        <w:tc>
          <w:tcPr>
            <w:tcW w:w="425" w:type="dxa"/>
            <w:vMerge w:val="restart"/>
            <w:shd w:val="clear" w:color="auto" w:fill="auto"/>
          </w:tcPr>
          <w:p w:rsidR="000D4413" w:rsidRPr="005B08B0" w:rsidRDefault="000D4413" w:rsidP="008634A1">
            <w:pPr>
              <w:spacing w:line="23" w:lineRule="atLeast"/>
              <w:jc w:val="right"/>
              <w:rPr>
                <w:position w:val="26"/>
              </w:rPr>
            </w:pPr>
          </w:p>
        </w:tc>
        <w:tc>
          <w:tcPr>
            <w:tcW w:w="5069" w:type="dxa"/>
            <w:vMerge/>
            <w:shd w:val="clear" w:color="auto" w:fill="auto"/>
          </w:tcPr>
          <w:p w:rsidR="000D4413" w:rsidRPr="005B08B0" w:rsidRDefault="000D4413" w:rsidP="008634A1">
            <w:pPr>
              <w:spacing w:line="23" w:lineRule="atLeast"/>
              <w:jc w:val="right"/>
              <w:rPr>
                <w:position w:val="26"/>
              </w:rPr>
            </w:pPr>
          </w:p>
        </w:tc>
      </w:tr>
      <w:tr w:rsidR="000D4413" w:rsidRPr="005B08B0" w:rsidTr="005E21B8">
        <w:tblPrEx>
          <w:tblBorders>
            <w:top w:val="none" w:sz="0" w:space="0" w:color="auto"/>
            <w:insideH w:val="none" w:sz="0" w:space="0" w:color="auto"/>
            <w:insideV w:val="none" w:sz="0" w:space="0" w:color="auto"/>
          </w:tblBorders>
          <w:tblLook w:val="01E0" w:firstRow="1" w:lastRow="1" w:firstColumn="1" w:lastColumn="1" w:noHBand="0" w:noVBand="0"/>
        </w:tblPrEx>
        <w:trPr>
          <w:trHeight w:val="397"/>
        </w:trPr>
        <w:tc>
          <w:tcPr>
            <w:tcW w:w="4253" w:type="dxa"/>
            <w:gridSpan w:val="4"/>
            <w:shd w:val="clear" w:color="auto" w:fill="auto"/>
          </w:tcPr>
          <w:p w:rsidR="000D4413" w:rsidRPr="005B08B0" w:rsidRDefault="000D4413" w:rsidP="008634A1">
            <w:pPr>
              <w:spacing w:line="23" w:lineRule="atLeast"/>
              <w:jc w:val="center"/>
              <w:rPr>
                <w:i/>
                <w:position w:val="26"/>
              </w:rPr>
            </w:pPr>
          </w:p>
        </w:tc>
        <w:tc>
          <w:tcPr>
            <w:tcW w:w="425" w:type="dxa"/>
            <w:vMerge/>
            <w:shd w:val="clear" w:color="auto" w:fill="auto"/>
          </w:tcPr>
          <w:p w:rsidR="000D4413" w:rsidRPr="005B08B0" w:rsidRDefault="000D4413" w:rsidP="008634A1">
            <w:pPr>
              <w:spacing w:line="23" w:lineRule="atLeast"/>
              <w:jc w:val="right"/>
              <w:rPr>
                <w:position w:val="26"/>
              </w:rPr>
            </w:pPr>
          </w:p>
        </w:tc>
        <w:tc>
          <w:tcPr>
            <w:tcW w:w="5069" w:type="dxa"/>
            <w:vMerge/>
            <w:shd w:val="clear" w:color="auto" w:fill="auto"/>
          </w:tcPr>
          <w:p w:rsidR="000D4413" w:rsidRPr="005B08B0" w:rsidRDefault="000D4413" w:rsidP="008634A1">
            <w:pPr>
              <w:spacing w:line="23" w:lineRule="atLeast"/>
              <w:jc w:val="right"/>
              <w:rPr>
                <w:position w:val="26"/>
              </w:rPr>
            </w:pPr>
          </w:p>
        </w:tc>
      </w:tr>
    </w:tbl>
    <w:p w:rsidR="00CE4D7A" w:rsidRPr="005E21B8" w:rsidRDefault="00CE4D7A" w:rsidP="00CE4D7A">
      <w:pPr>
        <w:spacing w:line="23" w:lineRule="atLeast"/>
        <w:ind w:left="708"/>
        <w:jc w:val="center"/>
        <w:rPr>
          <w:sz w:val="27"/>
          <w:szCs w:val="27"/>
        </w:rPr>
      </w:pPr>
    </w:p>
    <w:p w:rsidR="00CE4D7A" w:rsidRPr="005E21B8" w:rsidRDefault="00CE4D7A" w:rsidP="005E21B8">
      <w:pPr>
        <w:autoSpaceDE w:val="0"/>
        <w:autoSpaceDN w:val="0"/>
        <w:adjustRightInd w:val="0"/>
        <w:spacing w:line="26" w:lineRule="atLeast"/>
        <w:ind w:firstLine="709"/>
        <w:jc w:val="both"/>
        <w:outlineLvl w:val="0"/>
        <w:rPr>
          <w:sz w:val="27"/>
          <w:szCs w:val="27"/>
        </w:rPr>
      </w:pPr>
    </w:p>
    <w:p w:rsidR="005E21B8" w:rsidRPr="005E21B8" w:rsidRDefault="00880C4F" w:rsidP="005E21B8">
      <w:pPr>
        <w:autoSpaceDE w:val="0"/>
        <w:autoSpaceDN w:val="0"/>
        <w:adjustRightInd w:val="0"/>
        <w:spacing w:line="26" w:lineRule="atLeast"/>
        <w:ind w:firstLine="709"/>
        <w:jc w:val="both"/>
        <w:outlineLvl w:val="0"/>
        <w:rPr>
          <w:sz w:val="27"/>
          <w:szCs w:val="27"/>
        </w:rPr>
      </w:pPr>
      <w:r>
        <w:rPr>
          <w:sz w:val="27"/>
          <w:szCs w:val="27"/>
        </w:rPr>
        <w:t>Комитет по труду и занятости населения Московской области с</w:t>
      </w:r>
      <w:r w:rsidR="005520B8">
        <w:rPr>
          <w:sz w:val="27"/>
          <w:szCs w:val="27"/>
        </w:rPr>
        <w:t>ообщае</w:t>
      </w:r>
      <w:r>
        <w:rPr>
          <w:sz w:val="27"/>
          <w:szCs w:val="27"/>
        </w:rPr>
        <w:t>т</w:t>
      </w:r>
      <w:r w:rsidR="005520B8">
        <w:rPr>
          <w:sz w:val="27"/>
          <w:szCs w:val="27"/>
        </w:rPr>
        <w:t>, что п</w:t>
      </w:r>
      <w:r w:rsidR="005520B8" w:rsidRPr="005E21B8">
        <w:rPr>
          <w:sz w:val="27"/>
          <w:szCs w:val="27"/>
        </w:rPr>
        <w:t>риказом</w:t>
      </w:r>
      <w:r w:rsidR="005E21B8" w:rsidRPr="005E21B8">
        <w:rPr>
          <w:sz w:val="27"/>
          <w:szCs w:val="27"/>
        </w:rPr>
        <w:t xml:space="preserve"> М</w:t>
      </w:r>
      <w:r w:rsidR="00855C40">
        <w:rPr>
          <w:sz w:val="27"/>
          <w:szCs w:val="27"/>
        </w:rPr>
        <w:t>интруда</w:t>
      </w:r>
      <w:r w:rsidR="005E21B8" w:rsidRPr="005E21B8">
        <w:rPr>
          <w:sz w:val="27"/>
          <w:szCs w:val="27"/>
        </w:rPr>
        <w:t xml:space="preserve"> России от 10.12.2012 № 580н (в ред. от 20.02.2014) утверждены и введены в действие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Правила). </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Указанное финансовое обеспечение направлено на стимулирование страхователя (работодателя) к улучшению условий труда за счет экономии денежных средств за счет сумм страховых взносов на обязательное социальное страхование от несчастных случаев на производстве и профессиональных заболеваний. </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Правилами установлено, что финансовому обеспечению подлежат расходы работодателей на: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а) проведение специальной оценки условий труда;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б) реализацию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в) обучение по охране труда следующих категорий работников:</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руководителей организаций малого предпринимательства;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руководителей (в том числе руководителей структурных подразделений) государственных (муниципальных) учреждений;</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руководителей и специалистов служб охраны труда организаций;</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членов комитетов (комиссий) по охране труда;</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lastRenderedPageBreak/>
        <w:t>уполномоченных (доверенных) лиц по охране труда профессиональных союзов и иных уполномоченных работниками представительных органов;</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в соответствии с типовыми нормами и (или) на основании результатов проведения специальной оценки условий труда, а также смывающих и (или) обезвреживающих средств;</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д) санаторно-курортное лечение работников, занятых на работах с вредными и (или) опасными производственными факторами;</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ж) обеспечение лечебно-профилактическим питанием;</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з) приобретение страхователями, работники которых проходят обязательные </w:t>
      </w:r>
      <w:proofErr w:type="spellStart"/>
      <w:r w:rsidRPr="005E21B8">
        <w:rPr>
          <w:sz w:val="27"/>
          <w:szCs w:val="27"/>
        </w:rPr>
        <w:t>предсменные</w:t>
      </w:r>
      <w:proofErr w:type="spellEnd"/>
      <w:r w:rsidRPr="005E21B8">
        <w:rPr>
          <w:sz w:val="27"/>
          <w:szCs w:val="27"/>
        </w:rPr>
        <w:t xml:space="preserve"> и (или) </w:t>
      </w:r>
      <w:proofErr w:type="spellStart"/>
      <w:r w:rsidRPr="005E21B8">
        <w:rPr>
          <w:sz w:val="27"/>
          <w:szCs w:val="27"/>
        </w:rPr>
        <w:t>предрейсовые</w:t>
      </w:r>
      <w:proofErr w:type="spellEnd"/>
      <w:r w:rsidRPr="005E21B8">
        <w:rPr>
          <w:sz w:val="27"/>
          <w:szCs w:val="27"/>
        </w:rPr>
        <w:t xml:space="preserve"> медицинские осмотры, приборов для определения наличия и уровня содержания алкоголя (</w:t>
      </w:r>
      <w:proofErr w:type="spellStart"/>
      <w:r w:rsidRPr="005E21B8">
        <w:rPr>
          <w:sz w:val="27"/>
          <w:szCs w:val="27"/>
        </w:rPr>
        <w:t>алкотестеры</w:t>
      </w:r>
      <w:proofErr w:type="spellEnd"/>
      <w:r w:rsidRPr="005E21B8">
        <w:rPr>
          <w:sz w:val="27"/>
          <w:szCs w:val="27"/>
        </w:rPr>
        <w:t xml:space="preserve"> или </w:t>
      </w:r>
      <w:proofErr w:type="spellStart"/>
      <w:r w:rsidRPr="005E21B8">
        <w:rPr>
          <w:sz w:val="27"/>
          <w:szCs w:val="27"/>
        </w:rPr>
        <w:t>алкометры</w:t>
      </w:r>
      <w:proofErr w:type="spellEnd"/>
      <w:r w:rsidRPr="005E21B8">
        <w:rPr>
          <w:sz w:val="27"/>
          <w:szCs w:val="27"/>
        </w:rPr>
        <w:t>);</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5E21B8">
        <w:rPr>
          <w:sz w:val="27"/>
          <w:szCs w:val="27"/>
        </w:rPr>
        <w:t>тахографов</w:t>
      </w:r>
      <w:proofErr w:type="spellEnd"/>
      <w:r w:rsidRPr="005E21B8">
        <w:rPr>
          <w:sz w:val="27"/>
          <w:szCs w:val="27"/>
        </w:rPr>
        <w:t>);</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к) приобретение страхователями аптечек для оказания первой помощи.</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страхованию от несчастных случаев на производстве и профессиональных заболеваний, произведенных работодателем в предшествующем календарном году.</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Также приказом Минтруда России от 20.02.2014 № 103н, внесшим изменения в Правила, установлен порядок финансового обеспечения предупредительных мер работодателя с численностью работающих до 100 человек. Объем средств, направляемых таким работодателем на финансовое обеспечение указанных мер, не может превышать:</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страхователем за три последовательных календарных года, предшествующих текущему финансовому году;</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сумму страховых взносов, подлежащих перечислению им в </w:t>
      </w:r>
      <w:r w:rsidR="008B4C04">
        <w:rPr>
          <w:sz w:val="27"/>
          <w:szCs w:val="27"/>
        </w:rPr>
        <w:br/>
      </w:r>
      <w:r w:rsidR="008B4C04" w:rsidRPr="005E21B8">
        <w:rPr>
          <w:sz w:val="27"/>
          <w:szCs w:val="27"/>
        </w:rPr>
        <w:t>ГУ – Московско</w:t>
      </w:r>
      <w:r w:rsidR="008B4C04">
        <w:rPr>
          <w:sz w:val="27"/>
          <w:szCs w:val="27"/>
        </w:rPr>
        <w:t>е</w:t>
      </w:r>
      <w:r w:rsidR="008B4C04" w:rsidRPr="005E21B8">
        <w:rPr>
          <w:sz w:val="27"/>
          <w:szCs w:val="27"/>
        </w:rPr>
        <w:t xml:space="preserve"> областно</w:t>
      </w:r>
      <w:r w:rsidR="008B4C04">
        <w:rPr>
          <w:sz w:val="27"/>
          <w:szCs w:val="27"/>
        </w:rPr>
        <w:t>е</w:t>
      </w:r>
      <w:r w:rsidR="008B4C04" w:rsidRPr="005E21B8">
        <w:rPr>
          <w:sz w:val="27"/>
          <w:szCs w:val="27"/>
        </w:rPr>
        <w:t xml:space="preserve"> регионально</w:t>
      </w:r>
      <w:r w:rsidR="008B4C04">
        <w:rPr>
          <w:sz w:val="27"/>
          <w:szCs w:val="27"/>
        </w:rPr>
        <w:t>е</w:t>
      </w:r>
      <w:r w:rsidR="008B4C04" w:rsidRPr="005E21B8">
        <w:rPr>
          <w:sz w:val="27"/>
          <w:szCs w:val="27"/>
        </w:rPr>
        <w:t xml:space="preserve"> отделени</w:t>
      </w:r>
      <w:r w:rsidR="008B4C04">
        <w:rPr>
          <w:sz w:val="27"/>
          <w:szCs w:val="27"/>
        </w:rPr>
        <w:t>е</w:t>
      </w:r>
      <w:r w:rsidR="008B4C04" w:rsidRPr="005E21B8">
        <w:rPr>
          <w:sz w:val="27"/>
          <w:szCs w:val="27"/>
        </w:rPr>
        <w:t xml:space="preserve"> Фонда социального страхования Российской Федерации (далее – регионально</w:t>
      </w:r>
      <w:r w:rsidR="008B4C04">
        <w:rPr>
          <w:sz w:val="27"/>
          <w:szCs w:val="27"/>
        </w:rPr>
        <w:t>е</w:t>
      </w:r>
      <w:r w:rsidR="008B4C04" w:rsidRPr="005E21B8">
        <w:rPr>
          <w:sz w:val="27"/>
          <w:szCs w:val="27"/>
        </w:rPr>
        <w:t xml:space="preserve"> отделени</w:t>
      </w:r>
      <w:r w:rsidR="008B4C04">
        <w:rPr>
          <w:sz w:val="27"/>
          <w:szCs w:val="27"/>
        </w:rPr>
        <w:t>е</w:t>
      </w:r>
      <w:r w:rsidR="008B4C04" w:rsidRPr="005E21B8">
        <w:rPr>
          <w:sz w:val="27"/>
          <w:szCs w:val="27"/>
        </w:rPr>
        <w:t xml:space="preserve"> ФСС РФ)</w:t>
      </w:r>
      <w:r w:rsidR="008B4C04">
        <w:rPr>
          <w:sz w:val="27"/>
          <w:szCs w:val="27"/>
        </w:rPr>
        <w:t xml:space="preserve"> </w:t>
      </w:r>
      <w:r w:rsidR="00622C7B">
        <w:rPr>
          <w:sz w:val="27"/>
          <w:szCs w:val="27"/>
        </w:rPr>
        <w:br/>
      </w:r>
      <w:r w:rsidRPr="005E21B8">
        <w:rPr>
          <w:sz w:val="27"/>
          <w:szCs w:val="27"/>
        </w:rPr>
        <w:t>в текущем финансовом году.</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Заявления работодателей о финансовом обеспечении предупредительных мер, с приложением документов, предусмотренных Правилами, принимаются филиалами регионального отделения ФСС РФ до 1 августа 2014 года по месту регистрации работодателей в качестве страхователей. Порядок подачи </w:t>
      </w:r>
      <w:r w:rsidRPr="005E21B8">
        <w:rPr>
          <w:sz w:val="27"/>
          <w:szCs w:val="27"/>
        </w:rPr>
        <w:lastRenderedPageBreak/>
        <w:t>необходимых документов, их перечень, а также условия приема документов, определяется Правилами.</w:t>
      </w:r>
    </w:p>
    <w:p w:rsidR="005E21B8" w:rsidRPr="005E21B8" w:rsidRDefault="00880C4F" w:rsidP="005E21B8">
      <w:pPr>
        <w:autoSpaceDE w:val="0"/>
        <w:autoSpaceDN w:val="0"/>
        <w:adjustRightInd w:val="0"/>
        <w:spacing w:line="26" w:lineRule="atLeast"/>
        <w:ind w:firstLine="709"/>
        <w:jc w:val="both"/>
        <w:outlineLvl w:val="0"/>
        <w:rPr>
          <w:sz w:val="27"/>
          <w:szCs w:val="27"/>
        </w:rPr>
      </w:pPr>
      <w:r>
        <w:rPr>
          <w:sz w:val="27"/>
          <w:szCs w:val="27"/>
        </w:rPr>
        <w:t>Одновременно информируем</w:t>
      </w:r>
      <w:r w:rsidR="005E21B8" w:rsidRPr="005E21B8">
        <w:rPr>
          <w:sz w:val="27"/>
          <w:szCs w:val="27"/>
        </w:rPr>
        <w:t xml:space="preserve">, что в целях экономической заинтересованности работодателя в снижении профессионального риска постановлением Правительства Российской Федерации от 30.05.2012 № 524 </w:t>
      </w:r>
      <w:r>
        <w:rPr>
          <w:sz w:val="27"/>
          <w:szCs w:val="27"/>
        </w:rPr>
        <w:br/>
      </w:r>
      <w:r w:rsidR="005E21B8" w:rsidRPr="005E21B8">
        <w:rPr>
          <w:sz w:val="27"/>
          <w:szCs w:val="27"/>
        </w:rPr>
        <w:t xml:space="preserve">(в ред. от 21.05.2013) утверждены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w:t>
      </w:r>
      <w:r w:rsidR="009949FF">
        <w:rPr>
          <w:sz w:val="27"/>
          <w:szCs w:val="27"/>
        </w:rPr>
        <w:br/>
      </w:r>
      <w:r w:rsidR="005E21B8" w:rsidRPr="005E21B8">
        <w:rPr>
          <w:sz w:val="27"/>
          <w:szCs w:val="27"/>
        </w:rPr>
        <w:t>(далее - скидки, надбавки).</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Размер указанных скидок или надбавок рассчитывается Фондом социального страхования Российской Федерации в соответствии с Методикой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утвержденной приказом Минтруда России от 01.08.2012 № 39н, и не может превышать 40 процентов установленного страхового тарифа. </w:t>
      </w:r>
      <w:r w:rsidR="009949FF">
        <w:rPr>
          <w:sz w:val="27"/>
          <w:szCs w:val="27"/>
        </w:rPr>
        <w:br/>
      </w:r>
      <w:r w:rsidRPr="005E21B8">
        <w:rPr>
          <w:sz w:val="27"/>
          <w:szCs w:val="27"/>
        </w:rPr>
        <w:t>Расчет производится исходя из основных показателей страховых случаев, определенных по итогам деятельности работодателей за 3 года, предшествующих текущему году.</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 xml:space="preserve">Скидки и надбавки определяются с учетом состояния охраны труда </w:t>
      </w:r>
      <w:r w:rsidRPr="005E21B8">
        <w:rPr>
          <w:sz w:val="27"/>
          <w:szCs w:val="27"/>
        </w:rPr>
        <w:br/>
        <w:t xml:space="preserve">на основании сведений о результатах специальной оценки условий труда (аттестации рабочих мест по условиям труда) и сведений о проведенных обязательных предварительных и периодических медицинских осмотрах, ежегодно предоставляемых работодателями по форме – 4 ФСС в филиалы регионального отделения ФСС РФ по месту регистрации в качестве страхователей. </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Заявление об установлении скидки на очередной финансовый год подается работодателями не позднее 1 ноября текущего календарного года в филиалы регионального отделения ФСС РФ по месту регистрации в качестве страхователей.</w:t>
      </w:r>
    </w:p>
    <w:p w:rsidR="005E21B8" w:rsidRPr="005E21B8" w:rsidRDefault="005E21B8" w:rsidP="005E21B8">
      <w:pPr>
        <w:autoSpaceDE w:val="0"/>
        <w:autoSpaceDN w:val="0"/>
        <w:adjustRightInd w:val="0"/>
        <w:spacing w:line="26" w:lineRule="atLeast"/>
        <w:ind w:firstLine="709"/>
        <w:jc w:val="both"/>
        <w:outlineLvl w:val="0"/>
        <w:rPr>
          <w:sz w:val="27"/>
          <w:szCs w:val="27"/>
        </w:rPr>
      </w:pPr>
      <w:r w:rsidRPr="005E21B8">
        <w:rPr>
          <w:sz w:val="27"/>
          <w:szCs w:val="27"/>
        </w:rPr>
        <w:t>При наличии в предшествующем финансовом году страхового случая со смертельным исходом, произошедшего не по вине третьих лиц, работодателю на очередной финансовый год скидка не устанавливается.</w:t>
      </w:r>
    </w:p>
    <w:p w:rsidR="005E21B8" w:rsidRPr="005E21B8" w:rsidRDefault="005E21B8" w:rsidP="005E21B8">
      <w:pPr>
        <w:autoSpaceDE w:val="0"/>
        <w:autoSpaceDN w:val="0"/>
        <w:adjustRightInd w:val="0"/>
        <w:ind w:firstLine="709"/>
        <w:jc w:val="both"/>
        <w:outlineLvl w:val="0"/>
        <w:rPr>
          <w:sz w:val="27"/>
          <w:szCs w:val="27"/>
        </w:rPr>
      </w:pPr>
      <w:r w:rsidRPr="005E21B8">
        <w:rPr>
          <w:sz w:val="27"/>
          <w:szCs w:val="27"/>
        </w:rPr>
        <w:t>Прошу</w:t>
      </w:r>
      <w:r w:rsidR="00880C4F">
        <w:rPr>
          <w:sz w:val="27"/>
          <w:szCs w:val="27"/>
        </w:rPr>
        <w:t xml:space="preserve"> Вас</w:t>
      </w:r>
      <w:r w:rsidRPr="005E21B8">
        <w:rPr>
          <w:sz w:val="27"/>
          <w:szCs w:val="27"/>
        </w:rPr>
        <w:t xml:space="preserve"> проинформировать работодателей, </w:t>
      </w:r>
      <w:r w:rsidR="002140A2">
        <w:rPr>
          <w:sz w:val="27"/>
          <w:szCs w:val="27"/>
        </w:rPr>
        <w:t>осуществляющих свою деятельность на территории муниципального образования,</w:t>
      </w:r>
      <w:r w:rsidRPr="005E21B8">
        <w:rPr>
          <w:sz w:val="27"/>
          <w:szCs w:val="27"/>
        </w:rPr>
        <w:t xml:space="preserve"> о возможности привлечения средств страхования от несчастных случаев на производстве и профессиональных заболеваний на реализацию мероприятий по улучшению условий и охраны труда и о возможности установления скидок к страховым тарифам на обязательное социальное страхование от несчастных случаев на производстве и профессиональных заболеваний. </w:t>
      </w:r>
    </w:p>
    <w:p w:rsidR="005E21B8" w:rsidRPr="005E21B8" w:rsidRDefault="005E21B8" w:rsidP="005E21B8">
      <w:pPr>
        <w:autoSpaceDE w:val="0"/>
        <w:autoSpaceDN w:val="0"/>
        <w:adjustRightInd w:val="0"/>
        <w:spacing w:line="26" w:lineRule="atLeast"/>
        <w:ind w:firstLine="709"/>
        <w:jc w:val="both"/>
        <w:outlineLvl w:val="0"/>
        <w:rPr>
          <w:sz w:val="27"/>
          <w:szCs w:val="27"/>
        </w:rPr>
      </w:pPr>
    </w:p>
    <w:p w:rsidR="005E21B8" w:rsidRPr="005E21B8" w:rsidRDefault="005E21B8" w:rsidP="005E21B8">
      <w:pPr>
        <w:autoSpaceDE w:val="0"/>
        <w:autoSpaceDN w:val="0"/>
        <w:adjustRightInd w:val="0"/>
        <w:spacing w:line="26" w:lineRule="atLeast"/>
        <w:ind w:firstLine="709"/>
        <w:jc w:val="both"/>
        <w:outlineLvl w:val="0"/>
        <w:rPr>
          <w:sz w:val="27"/>
          <w:szCs w:val="27"/>
        </w:rPr>
      </w:pPr>
    </w:p>
    <w:p w:rsidR="005E21B8" w:rsidRPr="005E21B8" w:rsidRDefault="005E21B8" w:rsidP="005E21B8">
      <w:pPr>
        <w:autoSpaceDE w:val="0"/>
        <w:autoSpaceDN w:val="0"/>
        <w:adjustRightInd w:val="0"/>
        <w:spacing w:line="26" w:lineRule="atLeast"/>
        <w:ind w:firstLine="709"/>
        <w:jc w:val="both"/>
        <w:outlineLvl w:val="0"/>
        <w:rPr>
          <w:sz w:val="27"/>
          <w:szCs w:val="27"/>
        </w:rPr>
      </w:pPr>
    </w:p>
    <w:p w:rsidR="005E21B8" w:rsidRPr="005E21B8" w:rsidRDefault="005E21B8" w:rsidP="005E21B8">
      <w:pPr>
        <w:autoSpaceDE w:val="0"/>
        <w:autoSpaceDN w:val="0"/>
        <w:adjustRightInd w:val="0"/>
        <w:spacing w:line="26" w:lineRule="atLeast"/>
        <w:outlineLvl w:val="0"/>
        <w:rPr>
          <w:sz w:val="27"/>
          <w:szCs w:val="27"/>
        </w:rPr>
      </w:pPr>
      <w:proofErr w:type="spellStart"/>
      <w:r w:rsidRPr="005E21B8">
        <w:rPr>
          <w:sz w:val="27"/>
          <w:szCs w:val="27"/>
        </w:rPr>
        <w:t>И.о</w:t>
      </w:r>
      <w:proofErr w:type="spellEnd"/>
      <w:r w:rsidRPr="005E21B8">
        <w:rPr>
          <w:sz w:val="27"/>
          <w:szCs w:val="27"/>
        </w:rPr>
        <w:t xml:space="preserve">. председателя Комитета </w:t>
      </w:r>
      <w:r w:rsidRPr="005E21B8">
        <w:rPr>
          <w:sz w:val="27"/>
          <w:szCs w:val="27"/>
        </w:rPr>
        <w:tab/>
      </w:r>
      <w:r w:rsidRPr="005E21B8">
        <w:rPr>
          <w:sz w:val="27"/>
          <w:szCs w:val="27"/>
        </w:rPr>
        <w:tab/>
      </w:r>
      <w:r w:rsidRPr="005E21B8">
        <w:rPr>
          <w:sz w:val="27"/>
          <w:szCs w:val="27"/>
        </w:rPr>
        <w:tab/>
      </w:r>
      <w:r w:rsidRPr="005E21B8">
        <w:rPr>
          <w:sz w:val="27"/>
          <w:szCs w:val="27"/>
        </w:rPr>
        <w:tab/>
      </w:r>
      <w:r w:rsidRPr="005E21B8">
        <w:rPr>
          <w:sz w:val="27"/>
          <w:szCs w:val="27"/>
        </w:rPr>
        <w:tab/>
      </w:r>
      <w:r w:rsidRPr="005E21B8">
        <w:rPr>
          <w:sz w:val="27"/>
          <w:szCs w:val="27"/>
        </w:rPr>
        <w:tab/>
      </w:r>
      <w:r w:rsidRPr="005E21B8">
        <w:rPr>
          <w:sz w:val="27"/>
          <w:szCs w:val="27"/>
        </w:rPr>
        <w:tab/>
        <w:t xml:space="preserve">   Ж.В. Руднева</w:t>
      </w:r>
    </w:p>
    <w:p w:rsidR="005E21B8" w:rsidRPr="005E21B8" w:rsidRDefault="005E21B8" w:rsidP="005E21B8">
      <w:pPr>
        <w:pStyle w:val="2"/>
        <w:spacing w:line="26" w:lineRule="atLeast"/>
        <w:jc w:val="center"/>
        <w:rPr>
          <w:sz w:val="27"/>
          <w:szCs w:val="27"/>
        </w:rPr>
      </w:pPr>
    </w:p>
    <w:p w:rsidR="005E21B8" w:rsidRDefault="005E21B8" w:rsidP="005E21B8">
      <w:pPr>
        <w:pStyle w:val="2"/>
        <w:spacing w:line="26" w:lineRule="atLeast"/>
        <w:jc w:val="center"/>
        <w:rPr>
          <w:sz w:val="27"/>
          <w:szCs w:val="27"/>
        </w:rPr>
      </w:pPr>
    </w:p>
    <w:p w:rsidR="009949FF" w:rsidRDefault="009949FF" w:rsidP="005E21B8">
      <w:pPr>
        <w:pStyle w:val="2"/>
        <w:spacing w:line="26" w:lineRule="atLeast"/>
        <w:jc w:val="center"/>
        <w:rPr>
          <w:sz w:val="27"/>
          <w:szCs w:val="27"/>
        </w:rPr>
      </w:pPr>
    </w:p>
    <w:p w:rsidR="008F6E7D" w:rsidRPr="005E21B8" w:rsidRDefault="005E21B8" w:rsidP="005E21B8">
      <w:pPr>
        <w:spacing w:before="120" w:line="26" w:lineRule="atLeast"/>
        <w:rPr>
          <w:sz w:val="20"/>
          <w:szCs w:val="20"/>
        </w:rPr>
      </w:pPr>
      <w:r w:rsidRPr="005E21B8">
        <w:rPr>
          <w:sz w:val="20"/>
          <w:szCs w:val="20"/>
        </w:rPr>
        <w:t xml:space="preserve">Н.В. </w:t>
      </w:r>
      <w:proofErr w:type="spellStart"/>
      <w:r w:rsidRPr="005E21B8">
        <w:rPr>
          <w:sz w:val="20"/>
          <w:szCs w:val="20"/>
        </w:rPr>
        <w:t>Елис</w:t>
      </w:r>
      <w:proofErr w:type="spellEnd"/>
      <w:r w:rsidRPr="005E21B8">
        <w:rPr>
          <w:sz w:val="20"/>
          <w:szCs w:val="20"/>
        </w:rPr>
        <w:t>, 8 (495) 682-67-64</w:t>
      </w:r>
      <w:permEnd w:id="1422198015"/>
    </w:p>
    <w:sectPr w:rsidR="008F6E7D" w:rsidRPr="005E21B8" w:rsidSect="005E21B8">
      <w:headerReference w:type="even" r:id="rId11"/>
      <w:footerReference w:type="first" r:id="rId12"/>
      <w:pgSz w:w="11907" w:h="16840"/>
      <w:pgMar w:top="1134" w:right="708" w:bottom="1134" w:left="156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0B" w:rsidRDefault="00D5480B">
      <w:r>
        <w:separator/>
      </w:r>
    </w:p>
  </w:endnote>
  <w:endnote w:type="continuationSeparator" w:id="0">
    <w:p w:rsidR="00D5480B" w:rsidRDefault="00D5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4F" w:rsidRDefault="0062354F">
    <w:pPr>
      <w:jc w:val="right"/>
      <w:rPr>
        <w:spacing w:val="1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0B" w:rsidRDefault="00D5480B">
      <w:r>
        <w:separator/>
      </w:r>
    </w:p>
  </w:footnote>
  <w:footnote w:type="continuationSeparator" w:id="0">
    <w:p w:rsidR="00D5480B" w:rsidRDefault="00D548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4F" w:rsidRDefault="0062354F" w:rsidP="0062354F">
    <w:pPr>
      <w:framePr w:wrap="around" w:vAnchor="text" w:hAnchor="margin" w:xAlign="center" w:y="1"/>
    </w:pPr>
    <w:r>
      <w:fldChar w:fldCharType="begin"/>
    </w:r>
    <w:r>
      <w:instrText xml:space="preserve">PAGE  </w:instrText>
    </w:r>
    <w:r>
      <w:fldChar w:fldCharType="end"/>
    </w:r>
  </w:p>
  <w:p w:rsidR="0062354F" w:rsidRDefault="006235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ocumentProtection w:edit="readOnly" w:enforcement="1" w:cryptProviderType="rsaFull" w:cryptAlgorithmClass="hash" w:cryptAlgorithmType="typeAny" w:cryptAlgorithmSid="4" w:cryptSpinCount="100000" w:hash="zae9uSRaKPwYgm1192BnyCeZqK4=" w:salt="/glOBqbO/tCXPu3jKKzu1Q=="/>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55"/>
    <w:rsid w:val="000202EE"/>
    <w:rsid w:val="00065CA6"/>
    <w:rsid w:val="0006731D"/>
    <w:rsid w:val="000A4CE8"/>
    <w:rsid w:val="000D4413"/>
    <w:rsid w:val="001709D7"/>
    <w:rsid w:val="001757B7"/>
    <w:rsid w:val="00186558"/>
    <w:rsid w:val="00191B0A"/>
    <w:rsid w:val="001B63FE"/>
    <w:rsid w:val="001D2C7A"/>
    <w:rsid w:val="001E67C9"/>
    <w:rsid w:val="002076CC"/>
    <w:rsid w:val="002140A2"/>
    <w:rsid w:val="002416FB"/>
    <w:rsid w:val="00253826"/>
    <w:rsid w:val="00294FED"/>
    <w:rsid w:val="00333C68"/>
    <w:rsid w:val="00360D86"/>
    <w:rsid w:val="003D65D2"/>
    <w:rsid w:val="003E4F18"/>
    <w:rsid w:val="00490911"/>
    <w:rsid w:val="004F03F4"/>
    <w:rsid w:val="004F2A91"/>
    <w:rsid w:val="00504C52"/>
    <w:rsid w:val="00524009"/>
    <w:rsid w:val="005520B8"/>
    <w:rsid w:val="00591F55"/>
    <w:rsid w:val="005B08B0"/>
    <w:rsid w:val="005B254E"/>
    <w:rsid w:val="005B37D5"/>
    <w:rsid w:val="005C0DFB"/>
    <w:rsid w:val="005D3300"/>
    <w:rsid w:val="005E21B8"/>
    <w:rsid w:val="00614D36"/>
    <w:rsid w:val="006150D6"/>
    <w:rsid w:val="00622C7B"/>
    <w:rsid w:val="0062354F"/>
    <w:rsid w:val="00664958"/>
    <w:rsid w:val="00691D98"/>
    <w:rsid w:val="006A52DD"/>
    <w:rsid w:val="00704534"/>
    <w:rsid w:val="0073399F"/>
    <w:rsid w:val="00740073"/>
    <w:rsid w:val="00744380"/>
    <w:rsid w:val="00770AEC"/>
    <w:rsid w:val="007765F0"/>
    <w:rsid w:val="007E07B6"/>
    <w:rsid w:val="0082721E"/>
    <w:rsid w:val="00855C40"/>
    <w:rsid w:val="008634A1"/>
    <w:rsid w:val="00864EF7"/>
    <w:rsid w:val="008710DF"/>
    <w:rsid w:val="00880C4F"/>
    <w:rsid w:val="00897DD3"/>
    <w:rsid w:val="008B374D"/>
    <w:rsid w:val="008B4C04"/>
    <w:rsid w:val="008F6E7D"/>
    <w:rsid w:val="009949FF"/>
    <w:rsid w:val="009A2270"/>
    <w:rsid w:val="009C64A6"/>
    <w:rsid w:val="00A321AD"/>
    <w:rsid w:val="00A50E91"/>
    <w:rsid w:val="00A578EE"/>
    <w:rsid w:val="00AB24F1"/>
    <w:rsid w:val="00AB2A78"/>
    <w:rsid w:val="00AC788A"/>
    <w:rsid w:val="00AD615D"/>
    <w:rsid w:val="00B07B93"/>
    <w:rsid w:val="00B1781F"/>
    <w:rsid w:val="00B66B0D"/>
    <w:rsid w:val="00B72930"/>
    <w:rsid w:val="00BD2A40"/>
    <w:rsid w:val="00BF06EB"/>
    <w:rsid w:val="00C2725E"/>
    <w:rsid w:val="00CE4D7A"/>
    <w:rsid w:val="00D07B91"/>
    <w:rsid w:val="00D11ECB"/>
    <w:rsid w:val="00D5480B"/>
    <w:rsid w:val="00D62F02"/>
    <w:rsid w:val="00D64B2D"/>
    <w:rsid w:val="00D84516"/>
    <w:rsid w:val="00E25368"/>
    <w:rsid w:val="00EF0FEF"/>
    <w:rsid w:val="00F66533"/>
    <w:rsid w:val="00FA3B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szCs w:val="40"/>
    </w:rPr>
  </w:style>
  <w:style w:type="paragraph" w:styleId="3">
    <w:name w:val="heading 3"/>
    <w:basedOn w:val="a"/>
    <w:next w:val="a"/>
    <w:qFormat/>
    <w:pPr>
      <w:keepNext/>
      <w:jc w:val="center"/>
      <w:outlineLvl w:val="2"/>
    </w:pPr>
    <w:rPr>
      <w:b/>
      <w:bCs/>
      <w:sz w:val="28"/>
      <w:szCs w:val="28"/>
    </w:rPr>
  </w:style>
  <w:style w:type="paragraph" w:styleId="4">
    <w:name w:val="heading 4"/>
    <w:basedOn w:val="a"/>
    <w:next w:val="a"/>
    <w:qFormat/>
    <w:pPr>
      <w:keepNext/>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Body Text"/>
    <w:basedOn w:val="a"/>
    <w:semiHidden/>
    <w:pPr>
      <w:jc w:val="both"/>
    </w:pPr>
    <w:rPr>
      <w:sz w:val="28"/>
    </w:rPr>
  </w:style>
  <w:style w:type="character" w:styleId="a6">
    <w:name w:val="Hyperlink"/>
    <w:uiPriority w:val="99"/>
    <w:unhideWhenUsed/>
    <w:rsid w:val="005B37D5"/>
    <w:rPr>
      <w:color w:val="0000FF"/>
      <w:u w:val="single"/>
    </w:rPr>
  </w:style>
  <w:style w:type="table" w:styleId="a7">
    <w:name w:val="Table Grid"/>
    <w:basedOn w:val="a1"/>
    <w:uiPriority w:val="59"/>
    <w:rsid w:val="00A32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0D4413"/>
  </w:style>
  <w:style w:type="paragraph" w:styleId="a9">
    <w:name w:val="footer"/>
    <w:basedOn w:val="a"/>
    <w:link w:val="aa"/>
    <w:rsid w:val="000D4413"/>
    <w:pPr>
      <w:tabs>
        <w:tab w:val="center" w:pos="4677"/>
        <w:tab w:val="right" w:pos="9355"/>
      </w:tabs>
      <w:overflowPunct w:val="0"/>
      <w:autoSpaceDE w:val="0"/>
      <w:autoSpaceDN w:val="0"/>
      <w:adjustRightInd w:val="0"/>
      <w:textAlignment w:val="baseline"/>
    </w:pPr>
    <w:rPr>
      <w:sz w:val="20"/>
      <w:szCs w:val="20"/>
    </w:rPr>
  </w:style>
  <w:style w:type="character" w:customStyle="1" w:styleId="aa">
    <w:name w:val="Нижний колонтитул Знак"/>
    <w:basedOn w:val="a0"/>
    <w:link w:val="a9"/>
    <w:rsid w:val="000D4413"/>
  </w:style>
  <w:style w:type="paragraph" w:customStyle="1" w:styleId="ConsPlusNonformat">
    <w:name w:val="ConsPlusNonformat"/>
    <w:rsid w:val="000D4413"/>
    <w:pPr>
      <w:widowControl w:val="0"/>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0D4413"/>
    <w:rPr>
      <w:sz w:val="24"/>
      <w:szCs w:val="24"/>
    </w:rPr>
  </w:style>
  <w:style w:type="paragraph" w:styleId="ab">
    <w:name w:val="Balloon Text"/>
    <w:basedOn w:val="a"/>
    <w:link w:val="ac"/>
    <w:uiPriority w:val="99"/>
    <w:semiHidden/>
    <w:unhideWhenUsed/>
    <w:rsid w:val="001E67C9"/>
    <w:rPr>
      <w:rFonts w:ascii="Tahoma" w:hAnsi="Tahoma"/>
      <w:sz w:val="16"/>
      <w:szCs w:val="16"/>
    </w:rPr>
  </w:style>
  <w:style w:type="character" w:customStyle="1" w:styleId="ac">
    <w:name w:val="Текст выноски Знак"/>
    <w:link w:val="ab"/>
    <w:uiPriority w:val="99"/>
    <w:semiHidden/>
    <w:rsid w:val="001E67C9"/>
    <w:rPr>
      <w:rFonts w:ascii="Tahoma" w:hAnsi="Tahoma" w:cs="Tahoma"/>
      <w:sz w:val="16"/>
      <w:szCs w:val="16"/>
    </w:rPr>
  </w:style>
  <w:style w:type="paragraph" w:styleId="ad">
    <w:name w:val="Body Text Indent"/>
    <w:basedOn w:val="a"/>
    <w:link w:val="ae"/>
    <w:uiPriority w:val="99"/>
    <w:semiHidden/>
    <w:unhideWhenUsed/>
    <w:rsid w:val="005E21B8"/>
    <w:pPr>
      <w:spacing w:after="120"/>
      <w:ind w:left="283"/>
    </w:pPr>
  </w:style>
  <w:style w:type="character" w:customStyle="1" w:styleId="ae">
    <w:name w:val="Отступ основного текста Знак"/>
    <w:basedOn w:val="a0"/>
    <w:link w:val="ad"/>
    <w:uiPriority w:val="99"/>
    <w:semiHidden/>
    <w:rsid w:val="005E21B8"/>
    <w:rPr>
      <w:sz w:val="24"/>
      <w:szCs w:val="24"/>
    </w:rPr>
  </w:style>
  <w:style w:type="paragraph" w:styleId="2">
    <w:name w:val="Body Text Indent 2"/>
    <w:basedOn w:val="a"/>
    <w:link w:val="20"/>
    <w:uiPriority w:val="99"/>
    <w:semiHidden/>
    <w:unhideWhenUsed/>
    <w:rsid w:val="005E21B8"/>
    <w:pPr>
      <w:spacing w:after="120" w:line="480" w:lineRule="auto"/>
      <w:ind w:left="283"/>
    </w:pPr>
  </w:style>
  <w:style w:type="character" w:customStyle="1" w:styleId="20">
    <w:name w:val="Основной текст с отступом 2 Знак"/>
    <w:basedOn w:val="a0"/>
    <w:link w:val="2"/>
    <w:uiPriority w:val="99"/>
    <w:semiHidden/>
    <w:rsid w:val="005E21B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szCs w:val="40"/>
    </w:rPr>
  </w:style>
  <w:style w:type="paragraph" w:styleId="3">
    <w:name w:val="heading 3"/>
    <w:basedOn w:val="a"/>
    <w:next w:val="a"/>
    <w:qFormat/>
    <w:pPr>
      <w:keepNext/>
      <w:jc w:val="center"/>
      <w:outlineLvl w:val="2"/>
    </w:pPr>
    <w:rPr>
      <w:b/>
      <w:bCs/>
      <w:sz w:val="28"/>
      <w:szCs w:val="28"/>
    </w:rPr>
  </w:style>
  <w:style w:type="paragraph" w:styleId="4">
    <w:name w:val="heading 4"/>
    <w:basedOn w:val="a"/>
    <w:next w:val="a"/>
    <w:qFormat/>
    <w:pPr>
      <w:keepNext/>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Body Text"/>
    <w:basedOn w:val="a"/>
    <w:semiHidden/>
    <w:pPr>
      <w:jc w:val="both"/>
    </w:pPr>
    <w:rPr>
      <w:sz w:val="28"/>
    </w:rPr>
  </w:style>
  <w:style w:type="character" w:styleId="a6">
    <w:name w:val="Hyperlink"/>
    <w:uiPriority w:val="99"/>
    <w:unhideWhenUsed/>
    <w:rsid w:val="005B37D5"/>
    <w:rPr>
      <w:color w:val="0000FF"/>
      <w:u w:val="single"/>
    </w:rPr>
  </w:style>
  <w:style w:type="table" w:styleId="a7">
    <w:name w:val="Table Grid"/>
    <w:basedOn w:val="a1"/>
    <w:uiPriority w:val="59"/>
    <w:rsid w:val="00A32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0D4413"/>
  </w:style>
  <w:style w:type="paragraph" w:styleId="a9">
    <w:name w:val="footer"/>
    <w:basedOn w:val="a"/>
    <w:link w:val="aa"/>
    <w:rsid w:val="000D4413"/>
    <w:pPr>
      <w:tabs>
        <w:tab w:val="center" w:pos="4677"/>
        <w:tab w:val="right" w:pos="9355"/>
      </w:tabs>
      <w:overflowPunct w:val="0"/>
      <w:autoSpaceDE w:val="0"/>
      <w:autoSpaceDN w:val="0"/>
      <w:adjustRightInd w:val="0"/>
      <w:textAlignment w:val="baseline"/>
    </w:pPr>
    <w:rPr>
      <w:sz w:val="20"/>
      <w:szCs w:val="20"/>
    </w:rPr>
  </w:style>
  <w:style w:type="character" w:customStyle="1" w:styleId="aa">
    <w:name w:val="Нижний колонтитул Знак"/>
    <w:basedOn w:val="a0"/>
    <w:link w:val="a9"/>
    <w:rsid w:val="000D4413"/>
  </w:style>
  <w:style w:type="paragraph" w:customStyle="1" w:styleId="ConsPlusNonformat">
    <w:name w:val="ConsPlusNonformat"/>
    <w:rsid w:val="000D4413"/>
    <w:pPr>
      <w:widowControl w:val="0"/>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0D4413"/>
    <w:rPr>
      <w:sz w:val="24"/>
      <w:szCs w:val="24"/>
    </w:rPr>
  </w:style>
  <w:style w:type="paragraph" w:styleId="ab">
    <w:name w:val="Balloon Text"/>
    <w:basedOn w:val="a"/>
    <w:link w:val="ac"/>
    <w:uiPriority w:val="99"/>
    <w:semiHidden/>
    <w:unhideWhenUsed/>
    <w:rsid w:val="001E67C9"/>
    <w:rPr>
      <w:rFonts w:ascii="Tahoma" w:hAnsi="Tahoma"/>
      <w:sz w:val="16"/>
      <w:szCs w:val="16"/>
    </w:rPr>
  </w:style>
  <w:style w:type="character" w:customStyle="1" w:styleId="ac">
    <w:name w:val="Текст выноски Знак"/>
    <w:link w:val="ab"/>
    <w:uiPriority w:val="99"/>
    <w:semiHidden/>
    <w:rsid w:val="001E67C9"/>
    <w:rPr>
      <w:rFonts w:ascii="Tahoma" w:hAnsi="Tahoma" w:cs="Tahoma"/>
      <w:sz w:val="16"/>
      <w:szCs w:val="16"/>
    </w:rPr>
  </w:style>
  <w:style w:type="paragraph" w:styleId="ad">
    <w:name w:val="Body Text Indent"/>
    <w:basedOn w:val="a"/>
    <w:link w:val="ae"/>
    <w:uiPriority w:val="99"/>
    <w:semiHidden/>
    <w:unhideWhenUsed/>
    <w:rsid w:val="005E21B8"/>
    <w:pPr>
      <w:spacing w:after="120"/>
      <w:ind w:left="283"/>
    </w:pPr>
  </w:style>
  <w:style w:type="character" w:customStyle="1" w:styleId="ae">
    <w:name w:val="Отступ основного текста Знак"/>
    <w:basedOn w:val="a0"/>
    <w:link w:val="ad"/>
    <w:uiPriority w:val="99"/>
    <w:semiHidden/>
    <w:rsid w:val="005E21B8"/>
    <w:rPr>
      <w:sz w:val="24"/>
      <w:szCs w:val="24"/>
    </w:rPr>
  </w:style>
  <w:style w:type="paragraph" w:styleId="2">
    <w:name w:val="Body Text Indent 2"/>
    <w:basedOn w:val="a"/>
    <w:link w:val="20"/>
    <w:uiPriority w:val="99"/>
    <w:semiHidden/>
    <w:unhideWhenUsed/>
    <w:rsid w:val="005E21B8"/>
    <w:pPr>
      <w:spacing w:after="120" w:line="480" w:lineRule="auto"/>
      <w:ind w:left="283"/>
    </w:pPr>
  </w:style>
  <w:style w:type="character" w:customStyle="1" w:styleId="20">
    <w:name w:val="Основной текст с отступом 2 Знак"/>
    <w:basedOn w:val="a0"/>
    <w:link w:val="2"/>
    <w:uiPriority w:val="99"/>
    <w:semiHidden/>
    <w:rsid w:val="005E2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7732">
      <w:bodyDiv w:val="1"/>
      <w:marLeft w:val="0"/>
      <w:marRight w:val="0"/>
      <w:marTop w:val="0"/>
      <w:marBottom w:val="0"/>
      <w:divBdr>
        <w:top w:val="none" w:sz="0" w:space="0" w:color="auto"/>
        <w:left w:val="none" w:sz="0" w:space="0" w:color="auto"/>
        <w:bottom w:val="none" w:sz="0" w:space="0" w:color="auto"/>
        <w:right w:val="none" w:sz="0" w:space="0" w:color="auto"/>
      </w:divBdr>
      <w:divsChild>
        <w:div w:id="616907418">
          <w:marLeft w:val="0"/>
          <w:marRight w:val="0"/>
          <w:marTop w:val="0"/>
          <w:marBottom w:val="105"/>
          <w:divBdr>
            <w:top w:val="none" w:sz="0" w:space="0" w:color="auto"/>
            <w:left w:val="none" w:sz="0" w:space="0" w:color="auto"/>
            <w:bottom w:val="none" w:sz="0" w:space="0" w:color="auto"/>
            <w:right w:val="none" w:sz="0" w:space="0" w:color="auto"/>
          </w:divBdr>
        </w:div>
        <w:div w:id="775251550">
          <w:marLeft w:val="0"/>
          <w:marRight w:val="0"/>
          <w:marTop w:val="0"/>
          <w:marBottom w:val="0"/>
          <w:divBdr>
            <w:top w:val="none" w:sz="0" w:space="0" w:color="auto"/>
            <w:left w:val="none" w:sz="0" w:space="0" w:color="auto"/>
            <w:bottom w:val="none" w:sz="0" w:space="0" w:color="auto"/>
            <w:right w:val="none" w:sz="0" w:space="0" w:color="auto"/>
          </w:divBdr>
        </w:div>
      </w:divsChild>
    </w:div>
    <w:div w:id="1365014227">
      <w:bodyDiv w:val="1"/>
      <w:marLeft w:val="0"/>
      <w:marRight w:val="0"/>
      <w:marTop w:val="0"/>
      <w:marBottom w:val="0"/>
      <w:divBdr>
        <w:top w:val="none" w:sz="0" w:space="0" w:color="auto"/>
        <w:left w:val="none" w:sz="0" w:space="0" w:color="auto"/>
        <w:bottom w:val="none" w:sz="0" w:space="0" w:color="auto"/>
        <w:right w:val="none" w:sz="0" w:space="0" w:color="auto"/>
      </w:divBdr>
      <w:divsChild>
        <w:div w:id="687876164">
          <w:marLeft w:val="0"/>
          <w:marRight w:val="0"/>
          <w:marTop w:val="0"/>
          <w:marBottom w:val="0"/>
          <w:divBdr>
            <w:top w:val="none" w:sz="0" w:space="0" w:color="auto"/>
            <w:left w:val="none" w:sz="0" w:space="0" w:color="auto"/>
            <w:bottom w:val="none" w:sz="0" w:space="0" w:color="auto"/>
            <w:right w:val="none" w:sz="0" w:space="0" w:color="auto"/>
          </w:divBdr>
        </w:div>
        <w:div w:id="1985038032">
          <w:marLeft w:val="0"/>
          <w:marRight w:val="0"/>
          <w:marTop w:val="0"/>
          <w:marBottom w:val="0"/>
          <w:divBdr>
            <w:top w:val="none" w:sz="0" w:space="0" w:color="auto"/>
            <w:left w:val="none" w:sz="0" w:space="0" w:color="auto"/>
            <w:bottom w:val="none" w:sz="0" w:space="0" w:color="auto"/>
            <w:right w:val="none" w:sz="0" w:space="0" w:color="auto"/>
          </w:divBdr>
        </w:div>
      </w:divsChild>
    </w:div>
    <w:div w:id="1636137621">
      <w:bodyDiv w:val="1"/>
      <w:marLeft w:val="0"/>
      <w:marRight w:val="0"/>
      <w:marTop w:val="0"/>
      <w:marBottom w:val="0"/>
      <w:divBdr>
        <w:top w:val="none" w:sz="0" w:space="0" w:color="auto"/>
        <w:left w:val="none" w:sz="0" w:space="0" w:color="auto"/>
        <w:bottom w:val="none" w:sz="0" w:space="0" w:color="auto"/>
        <w:right w:val="none" w:sz="0" w:space="0" w:color="auto"/>
      </w:divBdr>
    </w:div>
    <w:div w:id="21423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yperlink" Target="mailto:departament@dzan-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131F-7FAB-BC40-AC1D-0C75C5BD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6212</Characters>
  <Application>Microsoft Macintosh Word</Application>
  <DocSecurity>12</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pmo</Company>
  <LinksUpToDate>false</LinksUpToDate>
  <CharactersWithSpaces>7287</CharactersWithSpaces>
  <SharedDoc>false</SharedDoc>
  <HLinks>
    <vt:vector size="6" baseType="variant">
      <vt:variant>
        <vt:i4>4259886</vt:i4>
      </vt:variant>
      <vt:variant>
        <vt:i4>3</vt:i4>
      </vt:variant>
      <vt:variant>
        <vt:i4>0</vt:i4>
      </vt:variant>
      <vt:variant>
        <vt:i4>5</vt:i4>
      </vt:variant>
      <vt:variant>
        <vt:lpwstr>mailto:departament@dzan-mo.ru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zueva</dc:creator>
  <cp:lastModifiedBy>Alexey Shchedrov</cp:lastModifiedBy>
  <cp:revision>2</cp:revision>
  <cp:lastPrinted>2014-06-16T11:43:00Z</cp:lastPrinted>
  <dcterms:created xsi:type="dcterms:W3CDTF">2014-07-09T19:59:00Z</dcterms:created>
  <dcterms:modified xsi:type="dcterms:W3CDTF">2014-07-09T19:59:00Z</dcterms:modified>
</cp:coreProperties>
</file>